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9" w:rsidRDefault="00203BAB" w:rsidP="005672FE">
      <w:pPr>
        <w:ind w:left="-851" w:right="-426" w:firstLine="284"/>
        <w:rPr>
          <w:sz w:val="32"/>
          <w:szCs w:val="40"/>
        </w:rPr>
      </w:pPr>
      <w:r w:rsidRPr="005672FE">
        <w:rPr>
          <w:b/>
          <w:sz w:val="32"/>
        </w:rPr>
        <w:t>IL s’agit de s’exercer à tracer des voies dans un petit lotissement</w:t>
      </w:r>
      <w:r w:rsidR="00614973" w:rsidRPr="005672FE">
        <w:rPr>
          <w:b/>
          <w:sz w:val="32"/>
        </w:rPr>
        <w:t xml:space="preserve"> de 300 lots de villa</w:t>
      </w:r>
      <w:r w:rsidR="00883484" w:rsidRPr="005672FE">
        <w:rPr>
          <w:b/>
          <w:sz w:val="32"/>
        </w:rPr>
        <w:t xml:space="preserve"> sous forme d’un plan masse</w:t>
      </w:r>
      <w:r w:rsidRPr="005672FE">
        <w:rPr>
          <w:b/>
          <w:sz w:val="32"/>
        </w:rPr>
        <w:t>;</w:t>
      </w:r>
      <w:r w:rsidR="00883484" w:rsidRPr="005672FE">
        <w:rPr>
          <w:b/>
          <w:sz w:val="32"/>
        </w:rPr>
        <w:t xml:space="preserve"> avec les aménagements et équipements</w:t>
      </w:r>
      <w:r w:rsidRPr="005672FE">
        <w:rPr>
          <w:b/>
          <w:sz w:val="32"/>
        </w:rPr>
        <w:t xml:space="preserve"> nécessaire; à l’image de l’exemple ci-après :</w:t>
      </w:r>
      <w:r>
        <w:rPr>
          <w:sz w:val="32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7CCD37" wp14:editId="7DEA0F6A">
            <wp:extent cx="5114925" cy="3276600"/>
            <wp:effectExtent l="0" t="0" r="9525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12285" r="25000" b="1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72FE" w:rsidRDefault="005672FE" w:rsidP="00010E6B">
      <w:pPr>
        <w:spacing w:after="0" w:line="240" w:lineRule="auto"/>
        <w:contextualSpacing/>
        <w:textAlignment w:val="baseline"/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</w:pPr>
    </w:p>
    <w:p w:rsidR="00010E6B" w:rsidRPr="00010E6B" w:rsidRDefault="00010E6B" w:rsidP="00010E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>L’objectif de cet exercice de</w:t>
      </w:r>
      <w:r w:rsidRPr="00010E6B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 xml:space="preserve"> </w:t>
      </w:r>
      <w:r w:rsidR="005672FE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 xml:space="preserve">petit </w:t>
      </w:r>
      <w:r w:rsidRPr="00010E6B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>lotissement</w:t>
      </w:r>
      <w:r w:rsidR="00614973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 xml:space="preserve"> est </w:t>
      </w:r>
      <w:proofErr w:type="spellStart"/>
      <w:r w:rsidR="005672FE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>la</w:t>
      </w:r>
      <w:proofErr w:type="spellEnd"/>
      <w:r w:rsidRPr="00010E6B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>:</w:t>
      </w:r>
    </w:p>
    <w:p w:rsidR="00010E6B" w:rsidRPr="00010E6B" w:rsidRDefault="00010E6B" w:rsidP="00010E6B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= </w:t>
      </w:r>
      <w:r w:rsidR="005672FE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Conception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 de voies de desserte inté</w:t>
      </w:r>
      <w:r w:rsidR="005672FE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rieure et des parkings</w:t>
      </w:r>
    </w:p>
    <w:p w:rsidR="00010E6B" w:rsidRPr="00010E6B" w:rsidRDefault="00010E6B" w:rsidP="00010E6B">
      <w:pPr>
        <w:tabs>
          <w:tab w:val="left" w:pos="4093"/>
        </w:tabs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= 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Aménagement des espaces lib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res; 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espaces verts et terrains de jeux</w:t>
      </w:r>
      <w:r w:rsidR="005672FE">
        <w:rPr>
          <w:rFonts w:ascii="Times New Roman" w:eastAsia="Times New Roman" w:hAnsi="Times New Roman" w:cs="Times New Roman"/>
          <w:sz w:val="12"/>
          <w:szCs w:val="24"/>
          <w:lang w:eastAsia="fr-FR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=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 Raccordem</w:t>
      </w:r>
      <w:r w:rsidR="00614973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ent des lots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 aux réseaux internes du lotissement </w:t>
      </w:r>
    </w:p>
    <w:p w:rsidR="00010E6B" w:rsidRPr="00010E6B" w:rsidRDefault="00010E6B" w:rsidP="00010E6B">
      <w:pPr>
        <w:tabs>
          <w:tab w:val="left" w:pos="4093"/>
        </w:tabs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= Raccordement des voies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 internes aux  réseaux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de voiries 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hors site</w:t>
      </w:r>
    </w:p>
    <w:p w:rsidR="00614973" w:rsidRDefault="00010E6B" w:rsidP="00614973">
      <w:pPr>
        <w:tabs>
          <w:tab w:val="left" w:pos="4093"/>
        </w:tabs>
        <w:spacing w:before="134"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 xml:space="preserve">= 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Reserve de terrains né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cess</w:t>
      </w:r>
      <w:r w:rsidRPr="00010E6B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aires pour  la réalisation d’équipements collectifs et de la vie sociale</w:t>
      </w:r>
      <w:r w:rsidR="005672FE">
        <w:rPr>
          <w:rFonts w:eastAsiaTheme="minorEastAsia" w:hAnsi="Calibri"/>
          <w:b/>
          <w:bCs/>
          <w:color w:val="000000" w:themeColor="text1"/>
          <w:kern w:val="24"/>
          <w:sz w:val="32"/>
          <w:szCs w:val="56"/>
          <w:lang w:eastAsia="fr-FR"/>
        </w:rPr>
        <w:t>.</w:t>
      </w:r>
    </w:p>
    <w:p w:rsidR="00D136D9" w:rsidRDefault="00D136D9" w:rsidP="00D136D9">
      <w:pPr>
        <w:spacing w:before="134" w:after="0" w:line="240" w:lineRule="auto"/>
        <w:textAlignment w:val="baseline"/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</w:pPr>
    </w:p>
    <w:p w:rsidR="00D136D9" w:rsidRPr="00614973" w:rsidRDefault="00614973" w:rsidP="00D136D9">
      <w:pPr>
        <w:spacing w:before="134" w:after="0" w:line="240" w:lineRule="auto"/>
        <w:textAlignment w:val="baseline"/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</w:pPr>
      <w:r w:rsidRPr="00614973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32"/>
          <w:szCs w:val="56"/>
          <w:lang w:eastAsia="fr-FR"/>
        </w:rPr>
        <w:t>Le tracé des voies doit concilier entre plusieurs impératifs:</w:t>
      </w:r>
    </w:p>
    <w:p w:rsidR="00614973" w:rsidRPr="005672FE" w:rsidRDefault="00614973" w:rsidP="005672F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</w:pPr>
      <w:r w:rsidRPr="005672FE"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  <w:t>L'insertion dans le contexte général urbain, plan masse;</w:t>
      </w:r>
    </w:p>
    <w:p w:rsidR="00614973" w:rsidRPr="005672FE" w:rsidRDefault="00614973" w:rsidP="005672F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</w:pPr>
      <w:r w:rsidRPr="005672FE"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  <w:t>L'adaptation au relief du terrain pour éviter les mouvements de terre;</w:t>
      </w:r>
    </w:p>
    <w:p w:rsidR="00614973" w:rsidRPr="005672FE" w:rsidRDefault="00614973" w:rsidP="005672F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</w:pPr>
      <w:r w:rsidRPr="005672FE"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  <w:t>L'adaptation au rayon des courbes aux véhicules empruntant  la voie;</w:t>
      </w:r>
    </w:p>
    <w:p w:rsidR="00614973" w:rsidRPr="005672FE" w:rsidRDefault="00614973" w:rsidP="005672F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</w:pPr>
      <w:r w:rsidRPr="005672FE"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  <w:t>Intégration des voies piétonnes pour réduire les distances aux différentes destinations;</w:t>
      </w:r>
    </w:p>
    <w:p w:rsidR="00614973" w:rsidRPr="005672FE" w:rsidRDefault="00614973" w:rsidP="0061497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</w:pPr>
      <w:r w:rsidRPr="005672FE">
        <w:rPr>
          <w:rFonts w:eastAsiaTheme="minorEastAsia" w:hAnsi="Calibri"/>
          <w:b/>
          <w:bCs/>
          <w:color w:val="000000" w:themeColor="text1"/>
          <w:kern w:val="24"/>
          <w:sz w:val="28"/>
          <w:szCs w:val="30"/>
          <w:lang w:eastAsia="fr-FR"/>
        </w:rPr>
        <w:t>Aménagement des places ou des bandes de stationnement;</w:t>
      </w:r>
    </w:p>
    <w:p w:rsidR="00614973" w:rsidRPr="00614973" w:rsidRDefault="00614973" w:rsidP="0061497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56"/>
          <w:lang w:eastAsia="fr-FR"/>
        </w:rPr>
      </w:pPr>
      <w:r w:rsidRPr="00614973">
        <w:rPr>
          <w:rFonts w:eastAsiaTheme="minorEastAsia" w:hAnsi="Calibri"/>
          <w:b/>
          <w:bCs/>
          <w:color w:val="000000" w:themeColor="text1"/>
          <w:kern w:val="24"/>
          <w:sz w:val="28"/>
          <w:szCs w:val="56"/>
          <w:lang w:eastAsia="fr-FR"/>
        </w:rPr>
        <w:t>L'étude de l'accessibilité des voies.</w:t>
      </w:r>
    </w:p>
    <w:p w:rsidR="00861B42" w:rsidRPr="005672FE" w:rsidRDefault="00881CA9" w:rsidP="00881CA9">
      <w:pPr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40"/>
          <w:szCs w:val="56"/>
          <w:lang w:eastAsia="fr-FR"/>
        </w:rPr>
      </w:pPr>
      <w:r w:rsidRPr="005672FE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40"/>
          <w:szCs w:val="56"/>
          <w:lang w:eastAsia="fr-FR"/>
        </w:rPr>
        <w:lastRenderedPageBreak/>
        <w:t>L’énoncé de l’exercice :</w:t>
      </w:r>
    </w:p>
    <w:p w:rsidR="00EA32C0" w:rsidRPr="00614973" w:rsidRDefault="00EA32C0" w:rsidP="00881CA9">
      <w:pPr>
        <w:rPr>
          <w:b/>
          <w:sz w:val="32"/>
          <w:szCs w:val="40"/>
        </w:rPr>
      </w:pPr>
      <w:r w:rsidRPr="00614973">
        <w:rPr>
          <w:b/>
          <w:sz w:val="32"/>
          <w:szCs w:val="40"/>
        </w:rPr>
        <w:t xml:space="preserve">Si on considère </w:t>
      </w:r>
      <w:r w:rsidR="006C2314" w:rsidRPr="00614973">
        <w:rPr>
          <w:b/>
          <w:sz w:val="32"/>
          <w:szCs w:val="40"/>
        </w:rPr>
        <w:t xml:space="preserve">que chaque famille </w:t>
      </w:r>
      <w:r w:rsidRPr="00614973">
        <w:rPr>
          <w:b/>
          <w:sz w:val="32"/>
          <w:szCs w:val="40"/>
        </w:rPr>
        <w:t>est composée de 5 personnes;</w:t>
      </w:r>
      <w:r w:rsidR="006C2314" w:rsidRPr="00614973">
        <w:rPr>
          <w:b/>
          <w:sz w:val="32"/>
          <w:szCs w:val="40"/>
        </w:rPr>
        <w:t xml:space="preserve"> donc on aura </w:t>
      </w:r>
      <w:r w:rsidRPr="00614973">
        <w:rPr>
          <w:b/>
          <w:sz w:val="32"/>
          <w:szCs w:val="40"/>
        </w:rPr>
        <w:t>1500 résidents</w:t>
      </w:r>
      <w:r w:rsidR="006C2314" w:rsidRPr="00614973">
        <w:rPr>
          <w:b/>
          <w:sz w:val="32"/>
          <w:szCs w:val="40"/>
        </w:rPr>
        <w:t xml:space="preserve"> + les autres usagers à estimer leur nombre; les utilisateurs de la : (superettes- mosquée-</w:t>
      </w:r>
      <w:r w:rsidR="00C819FD">
        <w:rPr>
          <w:b/>
          <w:sz w:val="32"/>
          <w:szCs w:val="40"/>
        </w:rPr>
        <w:t xml:space="preserve"> école-</w:t>
      </w:r>
      <w:r w:rsidR="006C2314" w:rsidRPr="00614973">
        <w:rPr>
          <w:b/>
          <w:sz w:val="32"/>
          <w:szCs w:val="40"/>
        </w:rPr>
        <w:t xml:space="preserve"> passagers pour les raccourcis- les invités lors des fêtes ou cérémonies…etc.).</w:t>
      </w:r>
    </w:p>
    <w:p w:rsidR="00881CA9" w:rsidRPr="00614973" w:rsidRDefault="00881CA9" w:rsidP="00881CA9">
      <w:pPr>
        <w:pStyle w:val="ListParagraph"/>
        <w:numPr>
          <w:ilvl w:val="0"/>
          <w:numId w:val="2"/>
        </w:numPr>
        <w:rPr>
          <w:b/>
          <w:i/>
          <w:sz w:val="36"/>
          <w:szCs w:val="40"/>
        </w:rPr>
      </w:pPr>
      <w:r w:rsidRPr="00614973">
        <w:rPr>
          <w:b/>
          <w:i/>
          <w:sz w:val="40"/>
          <w:szCs w:val="40"/>
        </w:rPr>
        <w:t>200</w:t>
      </w:r>
      <w:r w:rsidRPr="00614973">
        <w:rPr>
          <w:b/>
          <w:i/>
          <w:sz w:val="36"/>
          <w:szCs w:val="40"/>
        </w:rPr>
        <w:t xml:space="preserve"> lots de villa à </w:t>
      </w:r>
      <w:r w:rsidRPr="00614973">
        <w:rPr>
          <w:b/>
          <w:i/>
          <w:sz w:val="40"/>
          <w:szCs w:val="40"/>
        </w:rPr>
        <w:t>250M2</w:t>
      </w:r>
      <w:r w:rsidRPr="00614973">
        <w:rPr>
          <w:b/>
          <w:i/>
          <w:sz w:val="36"/>
          <w:szCs w:val="40"/>
        </w:rPr>
        <w:t xml:space="preserve"> chacune avec place de stationnement sur la voie devant le lot et deux autres à l’intérieur de la villa.</w:t>
      </w:r>
    </w:p>
    <w:p w:rsidR="00881CA9" w:rsidRPr="00614973" w:rsidRDefault="00881CA9" w:rsidP="00881CA9">
      <w:pPr>
        <w:pStyle w:val="ListParagraph"/>
        <w:numPr>
          <w:ilvl w:val="0"/>
          <w:numId w:val="2"/>
        </w:numPr>
        <w:rPr>
          <w:b/>
          <w:i/>
          <w:sz w:val="36"/>
          <w:szCs w:val="40"/>
        </w:rPr>
      </w:pPr>
      <w:r w:rsidRPr="00614973">
        <w:rPr>
          <w:b/>
          <w:i/>
          <w:sz w:val="40"/>
          <w:szCs w:val="40"/>
        </w:rPr>
        <w:t>100</w:t>
      </w:r>
      <w:r w:rsidRPr="00614973">
        <w:rPr>
          <w:b/>
          <w:i/>
          <w:sz w:val="36"/>
          <w:szCs w:val="40"/>
        </w:rPr>
        <w:t xml:space="preserve"> lots de villa à </w:t>
      </w:r>
      <w:r w:rsidRPr="00614973">
        <w:rPr>
          <w:b/>
          <w:i/>
          <w:sz w:val="40"/>
          <w:szCs w:val="40"/>
        </w:rPr>
        <w:t xml:space="preserve">500M2 </w:t>
      </w:r>
      <w:r w:rsidRPr="00614973">
        <w:rPr>
          <w:b/>
          <w:i/>
          <w:sz w:val="36"/>
          <w:szCs w:val="40"/>
        </w:rPr>
        <w:t>chacune avec 2 places de stationnement sur la voie devant le lot</w:t>
      </w:r>
      <w:r w:rsidR="00EA32C0" w:rsidRPr="00614973">
        <w:rPr>
          <w:b/>
          <w:i/>
          <w:sz w:val="36"/>
          <w:szCs w:val="40"/>
        </w:rPr>
        <w:t xml:space="preserve"> et deux autres à l’intérieur de la villa.</w:t>
      </w:r>
    </w:p>
    <w:p w:rsidR="00EA32C0" w:rsidRPr="00614973" w:rsidRDefault="00EA32C0" w:rsidP="00881CA9">
      <w:pPr>
        <w:pStyle w:val="ListParagraph"/>
        <w:numPr>
          <w:ilvl w:val="0"/>
          <w:numId w:val="2"/>
        </w:numPr>
        <w:rPr>
          <w:b/>
          <w:i/>
          <w:sz w:val="36"/>
          <w:szCs w:val="40"/>
        </w:rPr>
      </w:pPr>
      <w:r w:rsidRPr="00614973">
        <w:rPr>
          <w:b/>
          <w:i/>
          <w:sz w:val="36"/>
          <w:szCs w:val="40"/>
        </w:rPr>
        <w:t>Des équipements collectifs, sociaux (éducatif, jeux, sportif</w:t>
      </w:r>
      <w:r w:rsidR="007E225D" w:rsidRPr="00614973">
        <w:rPr>
          <w:b/>
          <w:i/>
          <w:sz w:val="36"/>
          <w:szCs w:val="40"/>
        </w:rPr>
        <w:t>, mosquée) superettes </w:t>
      </w:r>
      <w:r w:rsidRPr="00614973">
        <w:rPr>
          <w:b/>
          <w:i/>
          <w:sz w:val="36"/>
          <w:szCs w:val="40"/>
        </w:rPr>
        <w:t xml:space="preserve"> avec leur</w:t>
      </w:r>
      <w:r w:rsidR="007E225D" w:rsidRPr="00614973">
        <w:rPr>
          <w:b/>
          <w:i/>
          <w:sz w:val="36"/>
          <w:szCs w:val="40"/>
        </w:rPr>
        <w:t>s</w:t>
      </w:r>
      <w:r w:rsidRPr="00614973">
        <w:rPr>
          <w:b/>
          <w:i/>
          <w:sz w:val="36"/>
          <w:szCs w:val="40"/>
        </w:rPr>
        <w:t xml:space="preserve"> parking</w:t>
      </w:r>
      <w:r w:rsidR="007E225D" w:rsidRPr="00614973">
        <w:rPr>
          <w:b/>
          <w:i/>
          <w:sz w:val="36"/>
          <w:szCs w:val="40"/>
        </w:rPr>
        <w:t>s</w:t>
      </w:r>
    </w:p>
    <w:p w:rsidR="00EA32C0" w:rsidRPr="00614973" w:rsidRDefault="00EA32C0" w:rsidP="00881CA9">
      <w:pPr>
        <w:pStyle w:val="ListParagraph"/>
        <w:numPr>
          <w:ilvl w:val="0"/>
          <w:numId w:val="2"/>
        </w:numPr>
        <w:rPr>
          <w:b/>
          <w:i/>
          <w:sz w:val="36"/>
          <w:szCs w:val="40"/>
        </w:rPr>
      </w:pPr>
      <w:r w:rsidRPr="00614973">
        <w:rPr>
          <w:b/>
          <w:i/>
          <w:sz w:val="36"/>
          <w:szCs w:val="40"/>
        </w:rPr>
        <w:t>Placettes+ espaces vert</w:t>
      </w:r>
      <w:r w:rsidR="007E225D" w:rsidRPr="00614973">
        <w:rPr>
          <w:b/>
          <w:i/>
          <w:sz w:val="36"/>
          <w:szCs w:val="40"/>
        </w:rPr>
        <w:t xml:space="preserve"> avec le mobilier urbain adéquat.</w:t>
      </w:r>
    </w:p>
    <w:p w:rsidR="007E225D" w:rsidRPr="00614973" w:rsidRDefault="007E225D" w:rsidP="00881CA9">
      <w:pPr>
        <w:pStyle w:val="ListParagraph"/>
        <w:numPr>
          <w:ilvl w:val="0"/>
          <w:numId w:val="2"/>
        </w:numPr>
        <w:rPr>
          <w:b/>
          <w:i/>
          <w:sz w:val="36"/>
          <w:szCs w:val="40"/>
        </w:rPr>
      </w:pPr>
      <w:r w:rsidRPr="00614973">
        <w:rPr>
          <w:b/>
          <w:i/>
          <w:sz w:val="36"/>
          <w:szCs w:val="40"/>
        </w:rPr>
        <w:t xml:space="preserve">Le tout est </w:t>
      </w:r>
      <w:r w:rsidR="00744BC1" w:rsidRPr="00614973">
        <w:rPr>
          <w:b/>
          <w:i/>
          <w:sz w:val="36"/>
          <w:szCs w:val="40"/>
        </w:rPr>
        <w:t>desservi</w:t>
      </w:r>
      <w:r w:rsidRPr="00614973">
        <w:rPr>
          <w:b/>
          <w:i/>
          <w:sz w:val="36"/>
          <w:szCs w:val="40"/>
        </w:rPr>
        <w:t xml:space="preserve"> par des voies d’inter quartiers pour se relier aux réseaux de </w:t>
      </w:r>
      <w:r w:rsidR="00744BC1" w:rsidRPr="00614973">
        <w:rPr>
          <w:b/>
          <w:i/>
          <w:sz w:val="36"/>
          <w:szCs w:val="40"/>
        </w:rPr>
        <w:t>voiries existantes; des voies d’ilotages pour les accès importants de votre lotissement; des voies tertiaires pour les lots éloignés du centre de votre lotissement et enfin des voies piétonnes pour la zone des commerces, enfants</w:t>
      </w:r>
      <w:r w:rsidR="006C2314" w:rsidRPr="00614973">
        <w:rPr>
          <w:b/>
          <w:i/>
          <w:sz w:val="36"/>
          <w:szCs w:val="40"/>
        </w:rPr>
        <w:t xml:space="preserve"> </w:t>
      </w:r>
      <w:r w:rsidR="00744BC1" w:rsidRPr="00614973">
        <w:rPr>
          <w:b/>
          <w:i/>
          <w:sz w:val="36"/>
          <w:szCs w:val="40"/>
        </w:rPr>
        <w:t>(jeux et école)</w:t>
      </w:r>
      <w:r w:rsidR="006C2314" w:rsidRPr="00614973">
        <w:rPr>
          <w:b/>
          <w:i/>
          <w:sz w:val="36"/>
          <w:szCs w:val="40"/>
        </w:rPr>
        <w:t xml:space="preserve"> les placettes et lieux de repos et détente</w:t>
      </w:r>
      <w:r w:rsidR="00744BC1" w:rsidRPr="00614973">
        <w:rPr>
          <w:b/>
          <w:i/>
          <w:sz w:val="36"/>
          <w:szCs w:val="40"/>
        </w:rPr>
        <w:t>.</w:t>
      </w:r>
      <w:r w:rsidR="00220C8A">
        <w:rPr>
          <w:b/>
          <w:i/>
          <w:sz w:val="36"/>
          <w:szCs w:val="40"/>
        </w:rPr>
        <w:t xml:space="preserve">         </w:t>
      </w:r>
      <w:r w:rsidR="00220C8A" w:rsidRPr="00220C8A">
        <w:rPr>
          <w:b/>
          <w:i/>
          <w:color w:val="FF0000"/>
          <w:sz w:val="36"/>
          <w:szCs w:val="40"/>
        </w:rPr>
        <w:t>(voir le cours pour les différents types de voiries)</w:t>
      </w:r>
    </w:p>
    <w:p w:rsidR="00744BC1" w:rsidRPr="005672FE" w:rsidRDefault="00744BC1" w:rsidP="00881CA9">
      <w:pPr>
        <w:pStyle w:val="ListParagraph"/>
        <w:numPr>
          <w:ilvl w:val="0"/>
          <w:numId w:val="2"/>
        </w:numPr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40"/>
          <w:szCs w:val="56"/>
          <w:u w:val="single"/>
          <w:lang w:eastAsia="fr-FR"/>
        </w:rPr>
      </w:pPr>
      <w:r w:rsidRPr="005672FE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40"/>
          <w:szCs w:val="56"/>
          <w:u w:val="single"/>
          <w:lang w:eastAsia="fr-FR"/>
        </w:rPr>
        <w:t xml:space="preserve">NB : J’attire votre attention sur la mise en </w:t>
      </w:r>
      <w:bookmarkStart w:id="0" w:name="_GoBack"/>
      <w:bookmarkEnd w:id="0"/>
      <w:r w:rsidR="006C2314" w:rsidRPr="005672FE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40"/>
          <w:szCs w:val="56"/>
          <w:u w:val="single"/>
          <w:lang w:eastAsia="fr-FR"/>
        </w:rPr>
        <w:t>accessibilité</w:t>
      </w:r>
      <w:r w:rsidRPr="005672FE">
        <w:rPr>
          <w:rFonts w:ascii="Arial" w:eastAsiaTheme="minorEastAsia" w:hAnsi="Arial"/>
          <w:b/>
          <w:bCs/>
          <w:i/>
          <w:iCs/>
          <w:color w:val="0000FF" w:themeColor="hyperlink"/>
          <w:kern w:val="24"/>
          <w:sz w:val="40"/>
          <w:szCs w:val="56"/>
          <w:u w:val="single"/>
          <w:lang w:eastAsia="fr-FR"/>
        </w:rPr>
        <w:t xml:space="preserve"> pour les PMR.</w:t>
      </w:r>
    </w:p>
    <w:sectPr w:rsidR="00744BC1" w:rsidRPr="005672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62" w:rsidRDefault="00C37962" w:rsidP="00203BAB">
      <w:pPr>
        <w:spacing w:after="0" w:line="240" w:lineRule="auto"/>
      </w:pPr>
      <w:r>
        <w:separator/>
      </w:r>
    </w:p>
  </w:endnote>
  <w:endnote w:type="continuationSeparator" w:id="0">
    <w:p w:rsidR="00C37962" w:rsidRDefault="00C37962" w:rsidP="0020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62" w:rsidRDefault="00C37962" w:rsidP="00203BAB">
      <w:pPr>
        <w:spacing w:after="0" w:line="240" w:lineRule="auto"/>
      </w:pPr>
      <w:r>
        <w:separator/>
      </w:r>
    </w:p>
  </w:footnote>
  <w:footnote w:type="continuationSeparator" w:id="0">
    <w:p w:rsidR="00C37962" w:rsidRDefault="00C37962" w:rsidP="0020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AB" w:rsidRPr="00203BAB" w:rsidRDefault="00203BAB">
    <w:pPr>
      <w:pStyle w:val="Header"/>
      <w:rPr>
        <w:b/>
        <w:i/>
        <w:color w:val="FF0000"/>
        <w:sz w:val="52"/>
      </w:rPr>
    </w:pPr>
    <w:r>
      <w:t xml:space="preserve">                                                                       </w:t>
    </w:r>
    <w:r w:rsidRPr="00203BAB">
      <w:rPr>
        <w:b/>
        <w:i/>
        <w:color w:val="FF0000"/>
        <w:sz w:val="52"/>
      </w:rPr>
      <w:t>TP voiries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F9FE"/>
      </v:shape>
    </w:pict>
  </w:numPicBullet>
  <w:abstractNum w:abstractNumId="0">
    <w:nsid w:val="07C6598D"/>
    <w:multiLevelType w:val="hybridMultilevel"/>
    <w:tmpl w:val="8BA4A07E"/>
    <w:lvl w:ilvl="0" w:tplc="AEA8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446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60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EA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0C5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273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4D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52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DB49D3"/>
    <w:multiLevelType w:val="hybridMultilevel"/>
    <w:tmpl w:val="E96EB826"/>
    <w:lvl w:ilvl="0" w:tplc="26D4D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06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276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C3E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82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81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2D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9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81F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26178A"/>
    <w:multiLevelType w:val="hybridMultilevel"/>
    <w:tmpl w:val="91D8AA32"/>
    <w:lvl w:ilvl="0" w:tplc="E1889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EF8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4C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2DD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B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67B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AF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040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4B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A34F01"/>
    <w:multiLevelType w:val="hybridMultilevel"/>
    <w:tmpl w:val="2E12D920"/>
    <w:lvl w:ilvl="0" w:tplc="4418D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0FB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0C8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AE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E6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8A15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E5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470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AC5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701758"/>
    <w:multiLevelType w:val="hybridMultilevel"/>
    <w:tmpl w:val="5E8A3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A23BE"/>
    <w:multiLevelType w:val="hybridMultilevel"/>
    <w:tmpl w:val="CEA890A6"/>
    <w:lvl w:ilvl="0" w:tplc="AB10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49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3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3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9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8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A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543FEB"/>
    <w:multiLevelType w:val="hybridMultilevel"/>
    <w:tmpl w:val="A0BCC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77CF"/>
    <w:multiLevelType w:val="hybridMultilevel"/>
    <w:tmpl w:val="3BC081F4"/>
    <w:lvl w:ilvl="0" w:tplc="04F6C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EF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4E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E2E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6E1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07B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66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02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A2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8B66CF"/>
    <w:multiLevelType w:val="hybridMultilevel"/>
    <w:tmpl w:val="B98841DC"/>
    <w:lvl w:ilvl="0" w:tplc="E3A0F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2B1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03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46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7E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C08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C59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AA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6BB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40607F"/>
    <w:multiLevelType w:val="hybridMultilevel"/>
    <w:tmpl w:val="59941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B"/>
    <w:rsid w:val="00010E6B"/>
    <w:rsid w:val="00203BAB"/>
    <w:rsid w:val="00220C8A"/>
    <w:rsid w:val="005672FE"/>
    <w:rsid w:val="00614973"/>
    <w:rsid w:val="006C2314"/>
    <w:rsid w:val="00744BC1"/>
    <w:rsid w:val="007E225D"/>
    <w:rsid w:val="00861B42"/>
    <w:rsid w:val="00881CA9"/>
    <w:rsid w:val="00883484"/>
    <w:rsid w:val="0097580A"/>
    <w:rsid w:val="00C37962"/>
    <w:rsid w:val="00C819FD"/>
    <w:rsid w:val="00D136D9"/>
    <w:rsid w:val="00E15B6B"/>
    <w:rsid w:val="00E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AB"/>
  </w:style>
  <w:style w:type="paragraph" w:styleId="Footer">
    <w:name w:val="footer"/>
    <w:basedOn w:val="Normal"/>
    <w:link w:val="FooterChar"/>
    <w:uiPriority w:val="99"/>
    <w:unhideWhenUsed/>
    <w:rsid w:val="0020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AB"/>
  </w:style>
  <w:style w:type="paragraph" w:styleId="BalloonText">
    <w:name w:val="Balloon Text"/>
    <w:basedOn w:val="Normal"/>
    <w:link w:val="BalloonTextChar"/>
    <w:uiPriority w:val="99"/>
    <w:semiHidden/>
    <w:unhideWhenUsed/>
    <w:rsid w:val="002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AB"/>
  </w:style>
  <w:style w:type="paragraph" w:styleId="Footer">
    <w:name w:val="footer"/>
    <w:basedOn w:val="Normal"/>
    <w:link w:val="FooterChar"/>
    <w:uiPriority w:val="99"/>
    <w:unhideWhenUsed/>
    <w:rsid w:val="0020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AB"/>
  </w:style>
  <w:style w:type="paragraph" w:styleId="BalloonText">
    <w:name w:val="Balloon Text"/>
    <w:basedOn w:val="Normal"/>
    <w:link w:val="BalloonTextChar"/>
    <w:uiPriority w:val="99"/>
    <w:semiHidden/>
    <w:unhideWhenUsed/>
    <w:rsid w:val="002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Naguib</dc:creator>
  <cp:keywords/>
  <dc:description/>
  <cp:lastModifiedBy>Naguib</cp:lastModifiedBy>
  <cp:revision>4</cp:revision>
  <dcterms:created xsi:type="dcterms:W3CDTF">2020-06-07T20:02:00Z</dcterms:created>
  <dcterms:modified xsi:type="dcterms:W3CDTF">2020-06-09T22:30:00Z</dcterms:modified>
</cp:coreProperties>
</file>